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E61D" w14:textId="77777777" w:rsidR="00986069" w:rsidRDefault="00986069" w:rsidP="00986069">
      <w:pPr>
        <w:adjustRightInd w:val="0"/>
        <w:snapToGrid w:val="0"/>
        <w:rPr>
          <w:b/>
          <w:bCs/>
          <w:color w:val="231F20"/>
          <w:u w:val="double" w:color="EBD9CB"/>
        </w:rPr>
      </w:pPr>
      <w:r w:rsidRPr="004739C2">
        <w:rPr>
          <w:b/>
          <w:bCs/>
          <w:color w:val="231F20"/>
          <w:spacing w:val="-5"/>
          <w:u w:val="double" w:color="EBD9CB"/>
        </w:rPr>
        <w:t>Table</w:t>
      </w:r>
      <w:r w:rsidRPr="004739C2">
        <w:rPr>
          <w:b/>
          <w:bCs/>
          <w:color w:val="231F20"/>
          <w:u w:val="double" w:color="EBD9CB"/>
        </w:rPr>
        <w:t xml:space="preserve"> 8</w:t>
      </w:r>
      <w:r w:rsidRPr="004739C2">
        <w:rPr>
          <w:b/>
          <w:bCs/>
          <w:color w:val="231F20"/>
          <w:u w:val="double" w:color="EBD9CB"/>
        </w:rPr>
        <w:tab/>
        <w:t>Major</w:t>
      </w:r>
      <w:r w:rsidRPr="004739C2">
        <w:rPr>
          <w:b/>
          <w:bCs/>
          <w:color w:val="231F20"/>
          <w:spacing w:val="-8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Economic</w:t>
      </w:r>
      <w:r w:rsidRPr="004739C2">
        <w:rPr>
          <w:b/>
          <w:bCs/>
          <w:color w:val="231F20"/>
          <w:spacing w:val="-4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Indicators</w:t>
      </w:r>
      <w:r w:rsidRPr="004739C2">
        <w:rPr>
          <w:b/>
          <w:bCs/>
          <w:color w:val="231F20"/>
          <w:spacing w:val="-4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of</w:t>
      </w:r>
      <w:r w:rsidRPr="004739C2">
        <w:rPr>
          <w:b/>
          <w:bCs/>
          <w:color w:val="231F20"/>
          <w:spacing w:val="-17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Agricultural</w:t>
      </w:r>
      <w:r w:rsidRPr="004739C2">
        <w:rPr>
          <w:b/>
          <w:bCs/>
          <w:color w:val="231F20"/>
          <w:spacing w:val="-4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Products</w:t>
      </w:r>
      <w:r w:rsidRPr="004739C2">
        <w:rPr>
          <w:b/>
          <w:bCs/>
          <w:color w:val="231F20"/>
          <w:spacing w:val="-4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Processing</w:t>
      </w:r>
      <w:r w:rsidRPr="004739C2">
        <w:rPr>
          <w:b/>
          <w:bCs/>
          <w:color w:val="231F20"/>
          <w:spacing w:val="-3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Industry</w:t>
      </w:r>
      <w:r w:rsidRPr="004739C2">
        <w:rPr>
          <w:b/>
          <w:bCs/>
          <w:color w:val="231F20"/>
          <w:spacing w:val="-4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(Unit:</w:t>
      </w:r>
      <w:r w:rsidRPr="004739C2">
        <w:rPr>
          <w:b/>
          <w:bCs/>
          <w:color w:val="231F20"/>
          <w:spacing w:val="-4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100</w:t>
      </w:r>
      <w:r w:rsidRPr="004739C2">
        <w:rPr>
          <w:b/>
          <w:bCs/>
          <w:color w:val="231F20"/>
          <w:spacing w:val="-3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million</w:t>
      </w:r>
      <w:r w:rsidRPr="004739C2">
        <w:rPr>
          <w:b/>
          <w:bCs/>
          <w:color w:val="231F20"/>
          <w:spacing w:val="-4"/>
          <w:u w:val="double" w:color="EBD9CB"/>
        </w:rPr>
        <w:t xml:space="preserve"> </w:t>
      </w:r>
      <w:r w:rsidRPr="004739C2">
        <w:rPr>
          <w:b/>
          <w:bCs/>
          <w:color w:val="231F20"/>
          <w:u w:val="double" w:color="EBD9CB"/>
        </w:rPr>
        <w:t>yuan)</w:t>
      </w:r>
    </w:p>
    <w:tbl>
      <w:tblPr>
        <w:tblStyle w:val="TableNormal"/>
        <w:tblW w:w="8503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306"/>
        <w:gridCol w:w="8"/>
        <w:gridCol w:w="587"/>
        <w:gridCol w:w="799"/>
        <w:gridCol w:w="799"/>
        <w:gridCol w:w="799"/>
        <w:gridCol w:w="799"/>
        <w:gridCol w:w="799"/>
        <w:gridCol w:w="799"/>
        <w:gridCol w:w="808"/>
      </w:tblGrid>
      <w:tr w:rsidR="00986069" w14:paraId="5F9C8644" w14:textId="77777777" w:rsidTr="000E2E9E">
        <w:trPr>
          <w:trHeight w:val="231"/>
        </w:trPr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4A0D4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Item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AFF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color w:val="211D1E"/>
                <w:sz w:val="18"/>
                <w:szCs w:val="18"/>
              </w:rPr>
              <w:t>The number of enterprises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448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color w:val="211D1E"/>
                <w:sz w:val="18"/>
                <w:szCs w:val="18"/>
              </w:rPr>
              <w:t>Major business income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81C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color w:val="211D1E"/>
                <w:sz w:val="18"/>
                <w:szCs w:val="18"/>
              </w:rPr>
              <w:t>Total profits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EBA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color w:val="211D1E"/>
                <w:sz w:val="18"/>
                <w:szCs w:val="18"/>
              </w:rPr>
              <w:t>Total taxes</w:t>
            </w:r>
          </w:p>
        </w:tc>
      </w:tr>
      <w:tr w:rsidR="00986069" w14:paraId="3D91DC67" w14:textId="77777777" w:rsidTr="000E2E9E">
        <w:trPr>
          <w:trHeight w:val="323"/>
        </w:trPr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099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4A7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7E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F8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25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A97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F9F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C8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10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2017</w:t>
            </w:r>
          </w:p>
        </w:tc>
      </w:tr>
      <w:tr w:rsidR="00986069" w14:paraId="4250C2C1" w14:textId="77777777" w:rsidTr="000E2E9E">
        <w:trPr>
          <w:trHeight w:val="266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EDA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61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80 523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9B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82 472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FD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202 933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6D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194 002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F2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13 394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F77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12 926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FFA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11 167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D90F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10 980</w:t>
            </w:r>
          </w:p>
        </w:tc>
      </w:tr>
      <w:tr w:rsidR="00986069" w14:paraId="4C6C44B2" w14:textId="77777777" w:rsidTr="000E2E9E">
        <w:trPr>
          <w:trHeight w:val="192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9B2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1.</w:t>
            </w:r>
            <w:r>
              <w:rPr>
                <w:color w:val="231F20"/>
                <w:position w:val="1"/>
                <w:sz w:val="18"/>
              </w:rPr>
              <w:t>Grain processing and manufacturing</w:t>
            </w:r>
            <w:r>
              <w:rPr>
                <w:color w:val="231F20"/>
                <w:sz w:val="18"/>
              </w:rPr>
              <w:t xml:space="preserve">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48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11 754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D3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12 112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5BA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26 586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EDF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24 929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3B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1 541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B27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1 460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86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250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E9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275</w:t>
            </w:r>
          </w:p>
        </w:tc>
      </w:tr>
      <w:tr w:rsidR="00986069" w14:paraId="45E00DB7" w14:textId="77777777" w:rsidTr="000E2E9E">
        <w:trPr>
          <w:trHeight w:val="273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3495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2. </w:t>
            </w:r>
            <w:r>
              <w:rPr>
                <w:color w:val="231F20"/>
                <w:sz w:val="18"/>
              </w:rPr>
              <w:t>Feed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2C2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4 232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0BDF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4 296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7FA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11 534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83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11 244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13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634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DF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523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</w:tr>
      <w:tr w:rsidR="00986069" w14:paraId="78FE6452" w14:textId="77777777" w:rsidTr="000E2E9E">
        <w:trPr>
          <w:trHeight w:val="27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2B1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3. </w:t>
            </w:r>
            <w:r>
              <w:rPr>
                <w:color w:val="231F20"/>
                <w:sz w:val="18"/>
              </w:rPr>
              <w:t>Food raw material and wine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8A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2 287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B5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2 292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17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8 938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A10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8 418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25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1 005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880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1 225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19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91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</w:tr>
      <w:tr w:rsidR="00986069" w14:paraId="5CE90050" w14:textId="77777777" w:rsidTr="000E2E9E">
        <w:trPr>
          <w:trHeight w:val="27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8BF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4. </w:t>
            </w:r>
            <w:r>
              <w:rPr>
                <w:color w:val="231F20"/>
                <w:sz w:val="18"/>
              </w:rPr>
              <w:t>Vegetable oil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413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2 144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0AD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2 125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D42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10 715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96F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9 831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D1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E3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CB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20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</w:tr>
      <w:tr w:rsidR="00986069" w14:paraId="31E4274E" w14:textId="77777777" w:rsidTr="000E2E9E">
        <w:trPr>
          <w:trHeight w:val="270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6A2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5. </w:t>
            </w:r>
            <w:r>
              <w:rPr>
                <w:color w:val="231F20"/>
                <w:sz w:val="18"/>
              </w:rPr>
              <w:t>Fruits and vegetables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26F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5 600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04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5 779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0B2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9 669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DC7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9 317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F37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678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53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13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1 339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53F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1 239</w:t>
            </w:r>
          </w:p>
        </w:tc>
      </w:tr>
      <w:tr w:rsidR="00986069" w14:paraId="4E0D10FA" w14:textId="77777777" w:rsidTr="000E2E9E">
        <w:trPr>
          <w:trHeight w:val="27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7E0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6. </w:t>
            </w:r>
            <w:r>
              <w:rPr>
                <w:color w:val="231F20"/>
                <w:sz w:val="18"/>
              </w:rPr>
              <w:t>Refined tea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C5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1 945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A46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4C7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2 204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CB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2 273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44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F3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174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E5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9E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79</w:t>
            </w:r>
          </w:p>
        </w:tc>
      </w:tr>
      <w:tr w:rsidR="00986069" w14:paraId="1E11EA38" w14:textId="77777777" w:rsidTr="000E2E9E">
        <w:trPr>
          <w:trHeight w:val="27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EC9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7. </w:t>
            </w:r>
            <w:r>
              <w:rPr>
                <w:color w:val="231F20"/>
                <w:sz w:val="18"/>
              </w:rPr>
              <w:t>Meat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84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4 147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9F4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4 263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1D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14 527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F8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13 417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4A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2EC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6F6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D22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</w:tr>
      <w:tr w:rsidR="00986069" w14:paraId="2B230CBF" w14:textId="77777777" w:rsidTr="000E2E9E">
        <w:trPr>
          <w:trHeight w:val="27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A28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8. </w:t>
            </w:r>
            <w:r>
              <w:rPr>
                <w:color w:val="231F20"/>
                <w:sz w:val="18"/>
              </w:rPr>
              <w:t>Egg-product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2C6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8E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8E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30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A3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8C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9C3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2C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</w:tr>
      <w:tr w:rsidR="00986069" w14:paraId="49D79F40" w14:textId="77777777" w:rsidTr="000E2E9E">
        <w:trPr>
          <w:trHeight w:val="27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275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9. </w:t>
            </w:r>
            <w:r>
              <w:rPr>
                <w:color w:val="231F20"/>
                <w:sz w:val="18"/>
              </w:rPr>
              <w:t>Dairy-product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1FC0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C4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76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3 504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19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3 590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F8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1F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AA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C0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986069" w14:paraId="2871A9D4" w14:textId="77777777" w:rsidTr="000E2E9E">
        <w:trPr>
          <w:trHeight w:val="27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65E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10. </w:t>
            </w:r>
            <w:r>
              <w:rPr>
                <w:color w:val="231F20"/>
                <w:sz w:val="18"/>
              </w:rPr>
              <w:t>Aqua-product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87A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2 242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B6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2 281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94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5 659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04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5 481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7E0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A2E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357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1 583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5D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1 559</w:t>
            </w:r>
          </w:p>
        </w:tc>
      </w:tr>
      <w:tr w:rsidR="00986069" w14:paraId="44ED99EF" w14:textId="77777777" w:rsidTr="000E2E9E">
        <w:trPr>
          <w:trHeight w:val="27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E3D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11. </w:t>
            </w:r>
            <w:r>
              <w:rPr>
                <w:color w:val="231F20"/>
                <w:sz w:val="18"/>
              </w:rPr>
              <w:t>Sugar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3E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D0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291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7A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1 242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8E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0A3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6F0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A56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DB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986069" w14:paraId="0C6CFCAE" w14:textId="77777777" w:rsidTr="000E2E9E">
        <w:trPr>
          <w:trHeight w:val="257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D39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12. </w:t>
            </w:r>
            <w:r>
              <w:rPr>
                <w:color w:val="231F20"/>
                <w:sz w:val="18"/>
              </w:rPr>
              <w:t>Tobacco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70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129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98F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E9F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8 692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446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8 898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B7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1 038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BE0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972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F4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1C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</w:tr>
      <w:tr w:rsidR="00986069" w14:paraId="0BA959F0" w14:textId="77777777" w:rsidTr="000E2E9E">
        <w:trPr>
          <w:trHeight w:val="306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5ED3" w14:textId="77777777" w:rsidR="00986069" w:rsidRDefault="00986069" w:rsidP="00986069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13. </w:t>
            </w:r>
            <w:r>
              <w:rPr>
                <w:color w:val="231F20"/>
                <w:sz w:val="18"/>
              </w:rPr>
              <w:t>Traditional Chinese medicine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6A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2 777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6B5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2 919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9F6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8 653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A0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7 901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2A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4A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861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AC0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34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88</w:t>
            </w:r>
          </w:p>
        </w:tc>
      </w:tr>
      <w:tr w:rsidR="00986069" w14:paraId="39C63CD0" w14:textId="77777777" w:rsidTr="000E2E9E">
        <w:trPr>
          <w:trHeight w:val="192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5C4" w14:textId="5D5ECD3D" w:rsidR="00986069" w:rsidRPr="002815BE" w:rsidRDefault="00986069" w:rsidP="00986069">
            <w:pPr>
              <w:pStyle w:val="TableParagraph"/>
              <w:adjustRightInd w:val="0"/>
              <w:snapToGrid w:val="0"/>
              <w:jc w:val="left"/>
              <w:rPr>
                <w:rFonts w:eastAsiaTheme="minorEastAsia"/>
                <w:sz w:val="16"/>
                <w:lang w:eastAsia="zh-CN"/>
              </w:rPr>
            </w:pPr>
            <w:r>
              <w:rPr>
                <w:b/>
                <w:color w:val="231F20"/>
                <w:sz w:val="18"/>
              </w:rPr>
              <w:t xml:space="preserve">14. </w:t>
            </w:r>
            <w:r>
              <w:rPr>
                <w:color w:val="231F20"/>
                <w:sz w:val="18"/>
              </w:rPr>
              <w:t>Other edible agro-product processing industr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lang w:eastAsia="zh-CN"/>
              </w:rPr>
              <w:t>y</w:t>
            </w:r>
            <w:r>
              <w:rPr>
                <w:rFonts w:eastAsiaTheme="minorEastAsia" w:hint="eastAsia"/>
                <w:sz w:val="16"/>
                <w:lang w:eastAsia="zh-CN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821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5 074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76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5 396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61A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13 806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753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13 038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9D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1 290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D8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1 130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146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783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1B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6"/>
              </w:rPr>
            </w:pPr>
            <w:r>
              <w:rPr>
                <w:color w:val="231F20"/>
                <w:sz w:val="18"/>
              </w:rPr>
              <w:t>817</w:t>
            </w:r>
          </w:p>
        </w:tc>
      </w:tr>
      <w:tr w:rsidR="00986069" w14:paraId="2C010A00" w14:textId="77777777" w:rsidTr="000E2E9E">
        <w:trPr>
          <w:trHeight w:val="27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32B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15. </w:t>
            </w:r>
            <w:r>
              <w:rPr>
                <w:color w:val="231F20"/>
                <w:sz w:val="18"/>
              </w:rPr>
              <w:t>Cotton and linen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6A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9 193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A8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9 130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42A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23 155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C8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21 527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707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1 189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E3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1 058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3B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1 054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D6A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971</w:t>
            </w:r>
          </w:p>
        </w:tc>
      </w:tr>
      <w:tr w:rsidR="00986069" w14:paraId="67313019" w14:textId="77777777" w:rsidTr="000E2E9E">
        <w:trPr>
          <w:trHeight w:val="257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835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16. </w:t>
            </w:r>
            <w:r>
              <w:rPr>
                <w:color w:val="231F20"/>
                <w:sz w:val="18"/>
              </w:rPr>
              <w:t>Fur, feather and silk processing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AAA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5 991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454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5 984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9A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10 597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F8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9 844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590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7C6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53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1 617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F9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1 595</w:t>
            </w:r>
          </w:p>
        </w:tc>
      </w:tr>
      <w:tr w:rsidR="00986069" w14:paraId="4E50B0C0" w14:textId="77777777" w:rsidTr="000E2E9E">
        <w:trPr>
          <w:trHeight w:val="11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369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17. </w:t>
            </w:r>
            <w:r>
              <w:rPr>
                <w:color w:val="231F20"/>
                <w:sz w:val="18"/>
              </w:rPr>
              <w:t>Wood, bamboo, vine, palm and straw products processing industry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54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18 925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2DD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19 551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49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33 917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09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34 237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E65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1 999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CE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2 154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98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2 367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8A8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2 301</w:t>
            </w:r>
          </w:p>
        </w:tc>
      </w:tr>
      <w:tr w:rsidR="00986069" w14:paraId="5EEEECB4" w14:textId="77777777" w:rsidTr="000E2E9E">
        <w:trPr>
          <w:trHeight w:val="175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6AD" w14:textId="77777777" w:rsidR="00986069" w:rsidRDefault="00986069" w:rsidP="000E2E9E">
            <w:pPr>
              <w:pStyle w:val="TableParagraph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18. </w:t>
            </w:r>
            <w:r>
              <w:rPr>
                <w:color w:val="231F20"/>
                <w:sz w:val="18"/>
              </w:rPr>
              <w:t>Rubber product manufacturing industry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4E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2 961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C72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2 914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96B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9 232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D11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8 601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DEE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591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B9C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485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BF2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1 496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886" w14:textId="77777777" w:rsidR="00986069" w:rsidRDefault="00986069" w:rsidP="00986069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1 575</w:t>
            </w:r>
          </w:p>
        </w:tc>
      </w:tr>
    </w:tbl>
    <w:p w14:paraId="71B2AF40" w14:textId="77777777" w:rsidR="00FF46EB" w:rsidRDefault="00FF46EB"/>
    <w:p w14:paraId="3F65B735" w14:textId="3D590D62" w:rsidR="00045BA4" w:rsidRDefault="00045BA4">
      <w:r w:rsidRPr="00426624">
        <w:rPr>
          <w:b/>
        </w:rPr>
        <w:t>Note: The above data is sourced from the 2018 China Agricultural and Rural Development Report. To learn more please contact: +86 10 59194918.</w:t>
      </w:r>
    </w:p>
    <w:sectPr w:rsidR="00045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69"/>
    <w:rsid w:val="00045BA4"/>
    <w:rsid w:val="00287AD3"/>
    <w:rsid w:val="00986069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E8D8"/>
  <w15:chartTrackingRefBased/>
  <w15:docId w15:val="{E3CE8727-A3B9-4E0D-8BC8-24749621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606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0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606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David</dc:creator>
  <cp:keywords/>
  <dc:description/>
  <cp:lastModifiedBy>du sh</cp:lastModifiedBy>
  <cp:revision>4</cp:revision>
  <dcterms:created xsi:type="dcterms:W3CDTF">2020-05-27T05:09:00Z</dcterms:created>
  <dcterms:modified xsi:type="dcterms:W3CDTF">2020-06-17T08:16:00Z</dcterms:modified>
</cp:coreProperties>
</file>