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09D8" w14:textId="77777777" w:rsidR="005B60A8" w:rsidRPr="005B60A8" w:rsidRDefault="005B60A8" w:rsidP="005B60A8">
      <w:pPr>
        <w:adjustRightInd w:val="0"/>
        <w:snapToGrid w:val="0"/>
        <w:rPr>
          <w:rFonts w:ascii="Times New Roman" w:hAnsi="Times New Roman" w:cs="Times New Roman"/>
          <w:b/>
          <w:bCs/>
          <w:color w:val="171412"/>
          <w:spacing w:val="-10"/>
        </w:rPr>
      </w:pPr>
      <w:r w:rsidRPr="005B60A8">
        <w:rPr>
          <w:rFonts w:ascii="Times New Roman" w:hAnsi="Times New Roman" w:cs="Times New Roman"/>
          <w:b/>
          <w:bCs/>
          <w:color w:val="171412"/>
          <w:spacing w:val="-13"/>
        </w:rPr>
        <w:t>Table</w:t>
      </w:r>
      <w:r w:rsidRPr="005B60A8">
        <w:rPr>
          <w:rFonts w:ascii="Times New Roman" w:hAnsi="Times New Roman" w:cs="Times New Roman"/>
          <w:b/>
          <w:bCs/>
          <w:color w:val="171412"/>
          <w:spacing w:val="-20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</w:rPr>
        <w:t>2</w:t>
      </w:r>
      <w:r w:rsidRPr="005B60A8">
        <w:rPr>
          <w:rFonts w:ascii="Times New Roman" w:hAnsi="Times New Roman" w:cs="Times New Roman"/>
          <w:b/>
          <w:bCs/>
          <w:color w:val="171412"/>
        </w:rPr>
        <w:tab/>
      </w:r>
      <w:r w:rsidRPr="005B60A8">
        <w:rPr>
          <w:rFonts w:ascii="Times New Roman" w:hAnsi="Times New Roman" w:cs="Times New Roman"/>
          <w:b/>
          <w:bCs/>
          <w:color w:val="171412"/>
          <w:spacing w:val="-9"/>
        </w:rPr>
        <w:t>Output</w:t>
      </w:r>
      <w:r w:rsidRPr="005B60A8">
        <w:rPr>
          <w:rFonts w:ascii="Times New Roman" w:hAnsi="Times New Roman" w:cs="Times New Roman"/>
          <w:b/>
          <w:bCs/>
          <w:color w:val="171412"/>
          <w:spacing w:val="-22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12"/>
        </w:rPr>
        <w:t>Values</w:t>
      </w:r>
      <w:r w:rsidRPr="005B60A8">
        <w:rPr>
          <w:rFonts w:ascii="Times New Roman" w:hAnsi="Times New Roman" w:cs="Times New Roman"/>
          <w:b/>
          <w:bCs/>
          <w:color w:val="171412"/>
          <w:spacing w:val="-17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5"/>
        </w:rPr>
        <w:t>of</w:t>
      </w:r>
      <w:r w:rsidRPr="005B60A8">
        <w:rPr>
          <w:rFonts w:ascii="Times New Roman" w:hAnsi="Times New Roman" w:cs="Times New Roman"/>
          <w:b/>
          <w:bCs/>
          <w:color w:val="171412"/>
          <w:spacing w:val="-18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9"/>
        </w:rPr>
        <w:t>Crop</w:t>
      </w:r>
      <w:r w:rsidRPr="005B60A8">
        <w:rPr>
          <w:rFonts w:ascii="Times New Roman" w:hAnsi="Times New Roman" w:cs="Times New Roman"/>
          <w:b/>
          <w:bCs/>
          <w:color w:val="171412"/>
          <w:spacing w:val="-18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10"/>
        </w:rPr>
        <w:t>Plantation,</w:t>
      </w:r>
      <w:r w:rsidRPr="005B60A8">
        <w:rPr>
          <w:rFonts w:ascii="Times New Roman" w:hAnsi="Times New Roman" w:cs="Times New Roman"/>
          <w:b/>
          <w:bCs/>
          <w:color w:val="171412"/>
          <w:spacing w:val="-17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11"/>
        </w:rPr>
        <w:t>Forestry,</w:t>
      </w:r>
      <w:r w:rsidRPr="005B60A8">
        <w:rPr>
          <w:rFonts w:ascii="Times New Roman" w:hAnsi="Times New Roman" w:cs="Times New Roman"/>
          <w:b/>
          <w:bCs/>
          <w:color w:val="171412"/>
          <w:spacing w:val="-18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9"/>
        </w:rPr>
        <w:t>Husbandry</w:t>
      </w:r>
      <w:r w:rsidRPr="005B60A8">
        <w:rPr>
          <w:rFonts w:ascii="Times New Roman" w:hAnsi="Times New Roman" w:cs="Times New Roman"/>
          <w:b/>
          <w:bCs/>
          <w:color w:val="171412"/>
          <w:spacing w:val="-18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7"/>
        </w:rPr>
        <w:t>and</w:t>
      </w:r>
      <w:r w:rsidRPr="005B60A8">
        <w:rPr>
          <w:rFonts w:ascii="Times New Roman" w:hAnsi="Times New Roman" w:cs="Times New Roman"/>
          <w:b/>
          <w:bCs/>
          <w:color w:val="171412"/>
          <w:spacing w:val="-17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9"/>
        </w:rPr>
        <w:t>Fishery</w:t>
      </w:r>
      <w:r w:rsidRPr="005B60A8">
        <w:rPr>
          <w:rFonts w:ascii="Times New Roman" w:hAnsi="Times New Roman" w:cs="Times New Roman"/>
          <w:b/>
          <w:bCs/>
          <w:color w:val="171412"/>
          <w:spacing w:val="-18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7"/>
        </w:rPr>
        <w:t>(in</w:t>
      </w:r>
      <w:r w:rsidRPr="005B60A8">
        <w:rPr>
          <w:rFonts w:ascii="Times New Roman" w:hAnsi="Times New Roman" w:cs="Times New Roman"/>
          <w:b/>
          <w:bCs/>
          <w:color w:val="171412"/>
          <w:spacing w:val="-18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10"/>
        </w:rPr>
        <w:t>current-year</w:t>
      </w:r>
      <w:r w:rsidRPr="005B60A8">
        <w:rPr>
          <w:rFonts w:ascii="Times New Roman" w:hAnsi="Times New Roman" w:cs="Times New Roman"/>
          <w:b/>
          <w:bCs/>
          <w:color w:val="171412"/>
          <w:spacing w:val="-21"/>
        </w:rPr>
        <w:t xml:space="preserve"> </w:t>
      </w:r>
      <w:r w:rsidRPr="005B60A8">
        <w:rPr>
          <w:rFonts w:ascii="Times New Roman" w:hAnsi="Times New Roman" w:cs="Times New Roman"/>
          <w:b/>
          <w:bCs/>
          <w:color w:val="171412"/>
          <w:spacing w:val="-10"/>
        </w:rPr>
        <w:t xml:space="preserve">prices) </w:t>
      </w:r>
    </w:p>
    <w:p w14:paraId="34227691" w14:textId="77777777" w:rsidR="005B60A8" w:rsidRPr="005B60A8" w:rsidRDefault="005B60A8" w:rsidP="005B60A8">
      <w:pPr>
        <w:adjustRightInd w:val="0"/>
        <w:snapToGrid w:val="0"/>
        <w:rPr>
          <w:rFonts w:ascii="Times New Roman" w:hAnsi="Times New Roman" w:cs="Times New Roman"/>
          <w:b/>
          <w:bCs/>
          <w:i/>
          <w:color w:val="171412"/>
          <w:sz w:val="18"/>
        </w:rPr>
      </w:pPr>
      <w:r w:rsidRPr="005B60A8">
        <w:rPr>
          <w:rFonts w:ascii="Times New Roman" w:hAnsi="Times New Roman" w:cs="Times New Roman"/>
          <w:b/>
          <w:bCs/>
          <w:i/>
          <w:color w:val="171412"/>
          <w:sz w:val="18"/>
        </w:rPr>
        <w:t>billion yuan</w:t>
      </w:r>
    </w:p>
    <w:p w14:paraId="292B5D03" w14:textId="77777777" w:rsidR="005B60A8" w:rsidRPr="005B60A8" w:rsidRDefault="005B60A8" w:rsidP="005B60A8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8227" w:type="dxa"/>
        <w:tblLayout w:type="fixed"/>
        <w:tblLook w:val="01E0" w:firstRow="1" w:lastRow="1" w:firstColumn="1" w:lastColumn="1" w:noHBand="0" w:noVBand="0"/>
      </w:tblPr>
      <w:tblGrid>
        <w:gridCol w:w="404"/>
        <w:gridCol w:w="727"/>
        <w:gridCol w:w="569"/>
        <w:gridCol w:w="651"/>
        <w:gridCol w:w="691"/>
        <w:gridCol w:w="631"/>
        <w:gridCol w:w="719"/>
        <w:gridCol w:w="542"/>
        <w:gridCol w:w="6"/>
        <w:gridCol w:w="752"/>
        <w:gridCol w:w="631"/>
        <w:gridCol w:w="630"/>
        <w:gridCol w:w="577"/>
        <w:gridCol w:w="688"/>
        <w:gridCol w:w="9"/>
      </w:tblGrid>
      <w:tr w:rsidR="005B60A8" w:rsidRPr="005B60A8" w14:paraId="738D6583" w14:textId="77777777" w:rsidTr="00A329D5">
        <w:trPr>
          <w:trHeight w:val="345"/>
        </w:trPr>
        <w:tc>
          <w:tcPr>
            <w:tcW w:w="4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9C08B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color w:val="231F20"/>
                <w:sz w:val="15"/>
                <w:szCs w:val="20"/>
              </w:rPr>
            </w:pPr>
          </w:p>
          <w:p w14:paraId="200833E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color w:val="231F20"/>
                <w:sz w:val="15"/>
                <w:szCs w:val="20"/>
              </w:rPr>
            </w:pPr>
            <w:r w:rsidRPr="005B60A8">
              <w:rPr>
                <w:rFonts w:eastAsiaTheme="minorEastAsia"/>
                <w:b/>
                <w:color w:val="231F20"/>
                <w:sz w:val="15"/>
                <w:szCs w:val="20"/>
                <w:lang w:eastAsia="zh-CN"/>
              </w:rPr>
              <w:t>Year</w:t>
            </w:r>
          </w:p>
          <w:p w14:paraId="75BBAE2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color w:val="231F20"/>
                <w:sz w:val="15"/>
                <w:szCs w:val="20"/>
              </w:rPr>
            </w:pPr>
          </w:p>
          <w:p w14:paraId="3C14354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4DBAF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5B60A8">
              <w:rPr>
                <w:color w:val="171412"/>
                <w:sz w:val="17"/>
                <w:szCs w:val="17"/>
              </w:rPr>
              <w:t xml:space="preserve">Total output value </w:t>
            </w:r>
          </w:p>
        </w:tc>
        <w:tc>
          <w:tcPr>
            <w:tcW w:w="38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6AF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171412"/>
                <w:sz w:val="17"/>
                <w:szCs w:val="17"/>
              </w:rPr>
              <w:t>Added value of agriculture, forestry, animal husbandry and fisheries</w:t>
            </w:r>
          </w:p>
        </w:tc>
        <w:tc>
          <w:tcPr>
            <w:tcW w:w="32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F3F9" w14:textId="77CBB06D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  <w:r w:rsidRPr="005B60A8">
              <w:rPr>
                <w:color w:val="171412"/>
                <w:sz w:val="17"/>
                <w:szCs w:val="17"/>
              </w:rPr>
              <w:t>Composition of added value of agriculture, forestry, animal husbandry and fisheries</w:t>
            </w:r>
            <w:r w:rsidR="00426624">
              <w:rPr>
                <w:color w:val="171412"/>
                <w:sz w:val="17"/>
                <w:szCs w:val="17"/>
              </w:rPr>
              <w:t xml:space="preserve"> </w:t>
            </w:r>
            <w:r w:rsidRPr="005B60A8">
              <w:rPr>
                <w:color w:val="171412"/>
                <w:sz w:val="17"/>
                <w:szCs w:val="17"/>
              </w:rPr>
              <w:t>(%)</w:t>
            </w:r>
          </w:p>
          <w:p w14:paraId="0E266F6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</w:p>
        </w:tc>
      </w:tr>
      <w:tr w:rsidR="005B60A8" w:rsidRPr="005B60A8" w14:paraId="535441CB" w14:textId="77777777" w:rsidTr="00A329D5">
        <w:trPr>
          <w:gridAfter w:val="1"/>
          <w:wAfter w:w="9" w:type="dxa"/>
          <w:trHeight w:val="468"/>
        </w:trPr>
        <w:tc>
          <w:tcPr>
            <w:tcW w:w="4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464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color w:val="231F20"/>
                <w:sz w:val="15"/>
                <w:szCs w:val="20"/>
              </w:rPr>
            </w:pPr>
          </w:p>
        </w:tc>
        <w:tc>
          <w:tcPr>
            <w:tcW w:w="7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FD0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7"/>
                <w:szCs w:val="17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598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color w:val="231F20"/>
                <w:sz w:val="15"/>
                <w:szCs w:val="20"/>
              </w:rPr>
            </w:pP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1FB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Agriculture</w:t>
            </w:r>
          </w:p>
          <w:p w14:paraId="311714E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color w:val="231F20"/>
                <w:sz w:val="15"/>
                <w:szCs w:val="20"/>
              </w:rPr>
            </w:pPr>
          </w:p>
          <w:p w14:paraId="5D88E98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FE0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Forestry</w:t>
            </w:r>
          </w:p>
          <w:p w14:paraId="1E8888F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5D6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Animal</w:t>
            </w:r>
          </w:p>
          <w:p w14:paraId="4A9900A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husbandry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E43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Fisheries</w:t>
            </w:r>
          </w:p>
          <w:p w14:paraId="452EACA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5"/>
                <w:szCs w:val="20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275F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Services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50CE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171412"/>
                <w:spacing w:val="-14"/>
                <w:sz w:val="15"/>
                <w:szCs w:val="20"/>
              </w:rPr>
              <w:t>Agriculture</w:t>
            </w:r>
          </w:p>
          <w:p w14:paraId="321DCBC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pacing w:val="-14"/>
                <w:sz w:val="15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1F1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Forestry</w:t>
            </w:r>
          </w:p>
          <w:p w14:paraId="10F82C4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ED8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Animal husbandry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E57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Fisheries</w:t>
            </w:r>
          </w:p>
          <w:p w14:paraId="379F8BE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5"/>
                <w:szCs w:val="20"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D57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5"/>
                <w:szCs w:val="20"/>
              </w:rPr>
            </w:pPr>
            <w:r w:rsidRPr="005B60A8">
              <w:rPr>
                <w:color w:val="171412"/>
                <w:sz w:val="15"/>
                <w:szCs w:val="20"/>
              </w:rPr>
              <w:t>Services</w:t>
            </w:r>
          </w:p>
        </w:tc>
      </w:tr>
      <w:tr w:rsidR="005B60A8" w:rsidRPr="005B60A8" w14:paraId="01CC14A1" w14:textId="77777777" w:rsidTr="00A329D5">
        <w:trPr>
          <w:gridAfter w:val="1"/>
          <w:wAfter w:w="9" w:type="dxa"/>
          <w:trHeight w:val="275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CD86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color w:val="231F20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2000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77C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ind w:firstLineChars="100" w:firstLine="151"/>
              <w:jc w:val="left"/>
              <w:rPr>
                <w:color w:val="171412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2 491.58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F18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color w:val="231F20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1 494.36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3CF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870.36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3AF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66.23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569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363.85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6F40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ind w:firstLineChars="150" w:firstLine="226"/>
              <w:jc w:val="left"/>
              <w:rPr>
                <w:color w:val="171412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162.38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CEFE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940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ind w:firstLineChars="200" w:firstLine="301"/>
              <w:jc w:val="left"/>
              <w:rPr>
                <w:color w:val="171412"/>
                <w:spacing w:val="-14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59.5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807B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color w:val="171412"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4.5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DE22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rFonts w:eastAsiaTheme="minorEastAsia"/>
                <w:color w:val="171412"/>
                <w:sz w:val="15"/>
                <w:szCs w:val="20"/>
                <w:lang w:eastAsia="zh-CN"/>
              </w:rPr>
            </w:pPr>
            <w:r w:rsidRPr="005B60A8">
              <w:rPr>
                <w:rFonts w:eastAsiaTheme="minorEastAsia"/>
                <w:color w:val="171412"/>
                <w:sz w:val="15"/>
                <w:szCs w:val="20"/>
                <w:lang w:eastAsia="zh-CN"/>
              </w:rPr>
              <w:t xml:space="preserve">   </w:t>
            </w:r>
            <w:r w:rsidRPr="005B60A8">
              <w:rPr>
                <w:b/>
                <w:color w:val="231F20"/>
                <w:sz w:val="15"/>
                <w:szCs w:val="20"/>
              </w:rPr>
              <w:t>24.9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9119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ind w:firstLineChars="150" w:firstLine="217"/>
              <w:jc w:val="left"/>
              <w:rPr>
                <w:color w:val="171412"/>
                <w:sz w:val="15"/>
                <w:szCs w:val="20"/>
              </w:rPr>
            </w:pPr>
            <w:r w:rsidRPr="005B60A8">
              <w:rPr>
                <w:b/>
                <w:color w:val="231F20"/>
                <w:spacing w:val="-3"/>
                <w:sz w:val="15"/>
                <w:szCs w:val="20"/>
              </w:rPr>
              <w:t>11.1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7C2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color w:val="171412"/>
                <w:sz w:val="15"/>
                <w:szCs w:val="20"/>
              </w:rPr>
            </w:pPr>
          </w:p>
        </w:tc>
      </w:tr>
      <w:tr w:rsidR="005B60A8" w:rsidRPr="005B60A8" w14:paraId="03705D12" w14:textId="77777777" w:rsidTr="00A329D5">
        <w:trPr>
          <w:gridAfter w:val="1"/>
          <w:wAfter w:w="9" w:type="dxa"/>
          <w:trHeight w:val="182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0EE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600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2 617.96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9C30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1 578.00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BDF3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913.07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6FD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66.04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8F8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395.05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5D9F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167.03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502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6CB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59.2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36B9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A2D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25.6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0EE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10.8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1E9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</w:p>
        </w:tc>
      </w:tr>
      <w:tr w:rsidR="005B60A8" w:rsidRPr="005B60A8" w14:paraId="77962D48" w14:textId="77777777" w:rsidTr="00A329D5">
        <w:trPr>
          <w:gridAfter w:val="1"/>
          <w:wAfter w:w="9" w:type="dxa"/>
          <w:trHeight w:val="341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3E7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2002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A37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2 739.08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A07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1 653.57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8D07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948.24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19AF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71.08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428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416.67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B5F5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175.74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D4C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F08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58.8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21E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8B9F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25.9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256F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10.9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808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</w:p>
        </w:tc>
      </w:tr>
      <w:tr w:rsidR="005B60A8" w:rsidRPr="005B60A8" w14:paraId="1D0811F8" w14:textId="77777777" w:rsidTr="00A329D5">
        <w:trPr>
          <w:gridAfter w:val="1"/>
          <w:wAfter w:w="9" w:type="dxa"/>
          <w:trHeight w:val="341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42CB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A1E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2 969.18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F07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1 738.06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F5B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964.91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859E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83.30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EEC7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465.30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0F8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179.30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E75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41.36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D60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55.6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100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955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26.8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F84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10.3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B01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2.4</w:t>
            </w:r>
          </w:p>
        </w:tc>
      </w:tr>
      <w:tr w:rsidR="005B60A8" w:rsidRPr="005B60A8" w14:paraId="6425228D" w14:textId="77777777" w:rsidTr="00A329D5">
        <w:trPr>
          <w:gridAfter w:val="1"/>
          <w:wAfter w:w="9" w:type="dxa"/>
          <w:trHeight w:val="344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0AD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BD43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3 623.90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84B1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2 141.07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C14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1 182.77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0B5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90.56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C01C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595.37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DB12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208.11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0CD1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45.69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8317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55.7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D5FD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9AB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28.1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455C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9.8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46C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2.2</w:t>
            </w:r>
          </w:p>
        </w:tc>
      </w:tr>
      <w:tr w:rsidR="005B60A8" w:rsidRPr="005B60A8" w14:paraId="7F116870" w14:textId="77777777" w:rsidTr="00A329D5">
        <w:trPr>
          <w:gridAfter w:val="1"/>
          <w:wAfter w:w="9" w:type="dxa"/>
          <w:trHeight w:val="341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73A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2005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FE3B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3 945.09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FE9F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2 241.62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FF77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1 275.85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22F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97.55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20F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650.69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94C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232.72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70D8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50.25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C43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56.9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597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4.4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C86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29.0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DF3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10.4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7A7E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(0.7)</w:t>
            </w:r>
          </w:p>
        </w:tc>
      </w:tr>
      <w:tr w:rsidR="005B60A8" w:rsidRPr="005B60A8" w14:paraId="6417EADF" w14:textId="77777777" w:rsidTr="00A329D5">
        <w:trPr>
          <w:gridAfter w:val="1"/>
          <w:wAfter w:w="9" w:type="dxa"/>
          <w:trHeight w:val="340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85E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BF8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4 081.08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D5F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2 403.64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223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1 393.70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A9A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109.92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FCB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581.18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81B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241.55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709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77.65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326E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58.0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4D0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FC89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24.2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AB9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10.0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8C0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3.2</w:t>
            </w:r>
          </w:p>
        </w:tc>
      </w:tr>
      <w:tr w:rsidR="005B60A8" w:rsidRPr="005B60A8" w14:paraId="3B669C35" w14:textId="77777777" w:rsidTr="00A329D5">
        <w:trPr>
          <w:gridAfter w:val="1"/>
          <w:wAfter w:w="9" w:type="dxa"/>
          <w:trHeight w:val="344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5B8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2007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6472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4 865.18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549D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2 862.37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F65D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1 598.89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20E8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127.29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3C70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779.67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3E2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272.38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BB22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84.14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DE39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55.9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3A3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38E2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27.2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21C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9.5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A485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2.9</w:t>
            </w:r>
          </w:p>
        </w:tc>
      </w:tr>
      <w:tr w:rsidR="005B60A8" w:rsidRPr="005B60A8" w14:paraId="751C1C81" w14:textId="77777777" w:rsidTr="00A329D5">
        <w:trPr>
          <w:gridAfter w:val="1"/>
          <w:wAfter w:w="9" w:type="dxa"/>
          <w:trHeight w:val="343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6C3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2008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D82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5 742.08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CC9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3 369.91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7E1A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1 815.10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934C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145.90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AF0C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998.50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4533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317.20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688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93.21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C1D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53.9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EA7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581C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29.6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102D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9.4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5DD0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2.8</w:t>
            </w:r>
          </w:p>
        </w:tc>
      </w:tr>
      <w:tr w:rsidR="005B60A8" w:rsidRPr="005B60A8" w14:paraId="6E6EA0C2" w14:textId="77777777" w:rsidTr="00A329D5">
        <w:trPr>
          <w:gridAfter w:val="1"/>
          <w:wAfter w:w="9" w:type="dxa"/>
          <w:trHeight w:val="344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7EB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2009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FAEF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5 931.13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D89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3 522.33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5F7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1 973.87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2C8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157.90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B1DE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941.23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EF7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342.41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9BC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106.92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D7F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56.0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33BE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DD05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26.7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F8D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9.7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47E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3.0</w:t>
            </w:r>
          </w:p>
        </w:tc>
      </w:tr>
      <w:tr w:rsidR="005B60A8" w:rsidRPr="005B60A8" w14:paraId="0C1A2764" w14:textId="77777777" w:rsidTr="00A329D5">
        <w:trPr>
          <w:gridAfter w:val="1"/>
          <w:wAfter w:w="9" w:type="dxa"/>
          <w:trHeight w:val="341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35C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2010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CE99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6 776.31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C30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4 053.00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017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2 368.45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EEA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174.42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333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1 002.21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681B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390.38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B478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117.90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4A3F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58.4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3405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4.3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AB2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24.7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0DA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9.6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A8D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2.9</w:t>
            </w:r>
          </w:p>
        </w:tc>
      </w:tr>
      <w:tr w:rsidR="005B60A8" w:rsidRPr="005B60A8" w14:paraId="40996520" w14:textId="77777777" w:rsidTr="00A329D5">
        <w:trPr>
          <w:gridAfter w:val="1"/>
          <w:wAfter w:w="9" w:type="dxa"/>
          <w:trHeight w:val="338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5D98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2011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04B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7 883.70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667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4 748.30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1E2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2 704.28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859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208.92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05C4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1 243.14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03B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459.00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369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ED6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57.0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E72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AA3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26.2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36B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9.7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7EA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</w:tr>
      <w:tr w:rsidR="005B60A8" w:rsidRPr="005B60A8" w14:paraId="01B39075" w14:textId="77777777" w:rsidTr="00A329D5">
        <w:trPr>
          <w:gridAfter w:val="1"/>
          <w:wAfter w:w="9" w:type="dxa"/>
          <w:trHeight w:val="341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951F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2012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A6CA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8 634.22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79D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5 236.87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17C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3 021.61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4CB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228.13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B6D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1 312.84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6008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526.69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FC08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A827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57.7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CE82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F0F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25.1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D9D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10.1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4B2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</w:tr>
      <w:tr w:rsidR="005B60A8" w:rsidRPr="005B60A8" w14:paraId="15CA9CE3" w14:textId="77777777" w:rsidTr="0098425A">
        <w:trPr>
          <w:gridAfter w:val="1"/>
          <w:wAfter w:w="9" w:type="dxa"/>
          <w:trHeight w:val="352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9984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2013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358A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9 317.37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B10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5 697.36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E90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3 314.72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889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256.93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FEB6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1 376.28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C31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584.25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4F57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DBF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58.2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C25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200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24.2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00A11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10.3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277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</w:tr>
      <w:tr w:rsidR="005B60A8" w:rsidRPr="005B60A8" w14:paraId="03CF2CA9" w14:textId="77777777" w:rsidTr="00A329D5">
        <w:trPr>
          <w:gridAfter w:val="1"/>
          <w:wAfter w:w="9" w:type="dxa"/>
          <w:trHeight w:val="344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660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2014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4629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9 782.25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870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6 016.57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3D0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3 525.75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4BB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279.30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1125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1 402.53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391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626.02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3A7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383C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58.6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4711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77D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23.3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4FF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10.4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AC6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</w:tr>
      <w:tr w:rsidR="005B60A8" w:rsidRPr="005B60A8" w14:paraId="5FF72B2E" w14:textId="77777777" w:rsidTr="00A329D5">
        <w:trPr>
          <w:gridAfter w:val="1"/>
          <w:wAfter w:w="9" w:type="dxa"/>
          <w:trHeight w:val="341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142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2015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F8C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10 189.35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FDB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6 291.18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9E0C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3 702.97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B5F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289.58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C0D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1 436.00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5E3B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656.91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D43F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/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15F8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58.9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BA56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4.6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475B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22.8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4FAD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10.4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0D7C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b/>
                <w:sz w:val="15"/>
                <w:szCs w:val="20"/>
              </w:rPr>
            </w:pPr>
            <w:r w:rsidRPr="005B60A8">
              <w:rPr>
                <w:b/>
                <w:color w:val="231F20"/>
                <w:sz w:val="15"/>
                <w:szCs w:val="20"/>
              </w:rPr>
              <w:t>/</w:t>
            </w:r>
          </w:p>
        </w:tc>
      </w:tr>
      <w:tr w:rsidR="005B60A8" w:rsidRPr="005B60A8" w14:paraId="506F7927" w14:textId="77777777" w:rsidTr="00A329D5">
        <w:trPr>
          <w:gridAfter w:val="1"/>
          <w:wAfter w:w="9" w:type="dxa"/>
          <w:trHeight w:val="336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7B7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2016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CA84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10 647.87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23F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6 597.57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384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3 815.24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160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302.53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E643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1 549.20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738A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699.56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4E14A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3BB7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57.8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A6C37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3A1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23.5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7D5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864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</w:tr>
      <w:tr w:rsidR="005B60A8" w:rsidRPr="005B60A8" w14:paraId="33A56D7A" w14:textId="77777777" w:rsidTr="00A329D5">
        <w:trPr>
          <w:gridAfter w:val="1"/>
          <w:wAfter w:w="9" w:type="dxa"/>
          <w:trHeight w:val="189"/>
        </w:trPr>
        <w:tc>
          <w:tcPr>
            <w:tcW w:w="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AB93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2017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E2182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10 933.17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862C6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6 800.87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2B29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3 667.53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869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317.71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DCEEF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lef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1 857.94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6144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jc w:val="right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732.12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619E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C43D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53.9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629D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4.7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A9C5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27.3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B8CB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10.8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0F80" w14:textId="77777777" w:rsidR="005B60A8" w:rsidRPr="005B60A8" w:rsidRDefault="005B60A8" w:rsidP="000E2E9E">
            <w:pPr>
              <w:pStyle w:val="TableParagraph"/>
              <w:adjustRightInd w:val="0"/>
              <w:snapToGrid w:val="0"/>
              <w:rPr>
                <w:sz w:val="15"/>
                <w:szCs w:val="20"/>
              </w:rPr>
            </w:pPr>
            <w:r w:rsidRPr="005B60A8">
              <w:rPr>
                <w:color w:val="231F20"/>
                <w:sz w:val="15"/>
                <w:szCs w:val="20"/>
              </w:rPr>
              <w:t>/</w:t>
            </w:r>
          </w:p>
        </w:tc>
      </w:tr>
    </w:tbl>
    <w:p w14:paraId="6C65C233" w14:textId="77777777" w:rsidR="005B60A8" w:rsidRPr="005B60A8" w:rsidRDefault="005B60A8" w:rsidP="005B60A8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B60A8">
        <w:rPr>
          <w:rFonts w:ascii="Times New Roman" w:hAnsi="Times New Roman" w:cs="Times New Roman"/>
          <w:szCs w:val="21"/>
        </w:rPr>
        <w:br w:type="textWrapping" w:clear="all"/>
      </w:r>
    </w:p>
    <w:p w14:paraId="16D8196A" w14:textId="466E7331" w:rsidR="005B60A8" w:rsidRPr="005B60A8" w:rsidRDefault="005B60A8" w:rsidP="005B60A8">
      <w:pPr>
        <w:adjustRightInd w:val="0"/>
        <w:snapToGrid w:val="0"/>
        <w:rPr>
          <w:rFonts w:ascii="Times New Roman" w:hAnsi="Times New Roman" w:cs="Times New Roman"/>
          <w:color w:val="171412"/>
          <w:sz w:val="17"/>
          <w:szCs w:val="17"/>
        </w:rPr>
      </w:pPr>
      <w:r w:rsidRPr="005B60A8">
        <w:rPr>
          <w:rFonts w:ascii="Times New Roman" w:hAnsi="Times New Roman" w:cs="Times New Roman"/>
          <w:color w:val="171412"/>
          <w:sz w:val="17"/>
          <w:szCs w:val="17"/>
        </w:rPr>
        <w:t>Note: From 1993,</w:t>
      </w:r>
      <w:r w:rsidR="00426624">
        <w:rPr>
          <w:rFonts w:ascii="Times New Roman" w:hAnsi="Times New Roman" w:cs="Times New Roman"/>
          <w:color w:val="171412"/>
          <w:sz w:val="17"/>
          <w:szCs w:val="17"/>
        </w:rPr>
        <w:t xml:space="preserve"> </w:t>
      </w:r>
      <w:r w:rsidRPr="005B60A8">
        <w:rPr>
          <w:rFonts w:ascii="Times New Roman" w:hAnsi="Times New Roman" w:cs="Times New Roman"/>
          <w:color w:val="171412"/>
          <w:sz w:val="17"/>
          <w:szCs w:val="17"/>
        </w:rPr>
        <w:t>new indices were adopted to compile statistics.</w:t>
      </w:r>
      <w:r w:rsidR="00426624">
        <w:rPr>
          <w:rFonts w:ascii="Times New Roman" w:hAnsi="Times New Roman" w:cs="Times New Roman"/>
          <w:color w:val="171412"/>
          <w:sz w:val="17"/>
          <w:szCs w:val="17"/>
        </w:rPr>
        <w:t xml:space="preserve"> </w:t>
      </w:r>
      <w:r w:rsidRPr="005B60A8">
        <w:rPr>
          <w:rFonts w:ascii="Times New Roman" w:hAnsi="Times New Roman" w:cs="Times New Roman"/>
          <w:color w:val="171412"/>
          <w:sz w:val="17"/>
          <w:szCs w:val="17"/>
        </w:rPr>
        <w:t>The total output value listed above for 1996 and the ensuing years are all revised figures. A new standard of industrial</w:t>
      </w:r>
      <w:r w:rsidR="00426624">
        <w:rPr>
          <w:rFonts w:ascii="Times New Roman" w:hAnsi="Times New Roman" w:cs="Times New Roman"/>
          <w:color w:val="171412"/>
          <w:sz w:val="17"/>
          <w:szCs w:val="17"/>
        </w:rPr>
        <w:t xml:space="preserve"> </w:t>
      </w:r>
      <w:r w:rsidRPr="005B60A8">
        <w:rPr>
          <w:rFonts w:ascii="Times New Roman" w:hAnsi="Times New Roman" w:cs="Times New Roman"/>
          <w:color w:val="171412"/>
          <w:sz w:val="17"/>
          <w:szCs w:val="17"/>
        </w:rPr>
        <w:t>classification for national economic activities has been applied since 2003, under which service industries are included in the agriculture, forestry, animal husbandry and fisheries.</w:t>
      </w:r>
    </w:p>
    <w:p w14:paraId="7B53A6C9" w14:textId="77777777" w:rsidR="005B60A8" w:rsidRPr="005B60A8" w:rsidRDefault="005B60A8" w:rsidP="005B60A8">
      <w:pPr>
        <w:adjustRightInd w:val="0"/>
        <w:snapToGrid w:val="0"/>
        <w:rPr>
          <w:rFonts w:ascii="Times New Roman" w:hAnsi="Times New Roman" w:cs="Times New Roman"/>
          <w:color w:val="171412"/>
          <w:sz w:val="17"/>
          <w:szCs w:val="17"/>
        </w:rPr>
      </w:pPr>
    </w:p>
    <w:p w14:paraId="450EA07E" w14:textId="65445525" w:rsidR="00FF46EB" w:rsidRPr="00426624" w:rsidRDefault="00426624">
      <w:pPr>
        <w:rPr>
          <w:rFonts w:ascii="Times New Roman" w:hAnsi="Times New Roman" w:cs="Times New Roman"/>
          <w:b/>
        </w:rPr>
      </w:pPr>
      <w:r w:rsidRPr="00426624">
        <w:rPr>
          <w:rFonts w:ascii="Times New Roman" w:hAnsi="Times New Roman" w:cs="Times New Roman"/>
          <w:b/>
        </w:rPr>
        <w:t>Note: The above data is sourced from the 2018 China Agricultural and Rural Development Report. To learn more</w:t>
      </w:r>
      <w:r w:rsidR="00470332">
        <w:rPr>
          <w:rFonts w:ascii="Times New Roman" w:hAnsi="Times New Roman" w:cs="Times New Roman"/>
          <w:b/>
        </w:rPr>
        <w:t xml:space="preserve"> </w:t>
      </w:r>
      <w:r w:rsidRPr="00426624">
        <w:rPr>
          <w:rFonts w:ascii="Times New Roman" w:hAnsi="Times New Roman" w:cs="Times New Roman"/>
          <w:b/>
        </w:rPr>
        <w:t>please contact</w:t>
      </w:r>
      <w:r w:rsidR="00470332">
        <w:rPr>
          <w:rFonts w:ascii="Times New Roman" w:hAnsi="Times New Roman" w:cs="Times New Roman"/>
          <w:b/>
        </w:rPr>
        <w:t xml:space="preserve"> </w:t>
      </w:r>
      <w:r w:rsidRPr="00426624">
        <w:rPr>
          <w:rFonts w:ascii="Times New Roman" w:hAnsi="Times New Roman" w:cs="Times New Roman"/>
          <w:b/>
        </w:rPr>
        <w:t>: +86 10 59194918.</w:t>
      </w:r>
    </w:p>
    <w:sectPr w:rsidR="00FF46EB" w:rsidRPr="00426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A8"/>
    <w:rsid w:val="00216A44"/>
    <w:rsid w:val="00426624"/>
    <w:rsid w:val="00470332"/>
    <w:rsid w:val="005B60A8"/>
    <w:rsid w:val="0098425A"/>
    <w:rsid w:val="00A329D5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96D7"/>
  <w15:chartTrackingRefBased/>
  <w15:docId w15:val="{C52A083A-3E08-4703-9D2E-FB85FADF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0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60A8"/>
    <w:pPr>
      <w:autoSpaceDE w:val="0"/>
      <w:autoSpaceDN w:val="0"/>
      <w:jc w:val="center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David</dc:creator>
  <cp:keywords/>
  <dc:description/>
  <cp:lastModifiedBy>du sh</cp:lastModifiedBy>
  <cp:revision>7</cp:revision>
  <dcterms:created xsi:type="dcterms:W3CDTF">2020-05-27T05:04:00Z</dcterms:created>
  <dcterms:modified xsi:type="dcterms:W3CDTF">2020-06-17T08:11:00Z</dcterms:modified>
</cp:coreProperties>
</file>